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pStyle w:val="8"/>
        <w:ind w:firstLine="0" w:firstLineChars="0"/>
        <w:rPr>
          <w:rFonts w:hint="eastAsia" w:ascii="仿宋" w:hAnsi="仿宋" w:eastAsia="仿宋" w:cs="仿宋_GB2312"/>
          <w:b/>
          <w:bCs/>
          <w:kern w:val="0"/>
          <w:sz w:val="44"/>
          <w:szCs w:val="44"/>
          <w:lang w:val="en-US" w:eastAsia="zh-CN" w:bidi="ar-SA"/>
        </w:rPr>
      </w:pPr>
      <w:r>
        <w:rPr>
          <w:rFonts w:hint="eastAsia" w:ascii="仿宋" w:hAnsi="仿宋" w:eastAsia="仿宋" w:cs="仿宋_GB2312"/>
          <w:b/>
          <w:bCs/>
          <w:kern w:val="0"/>
          <w:sz w:val="44"/>
          <w:szCs w:val="44"/>
          <w:lang w:val="en-US" w:eastAsia="zh-CN" w:bidi="ar-SA"/>
        </w:rPr>
        <w:t>机场路与201省道联络线项目</w:t>
      </w:r>
    </w:p>
    <w:p>
      <w:pPr>
        <w:pStyle w:val="8"/>
        <w:ind w:firstLine="0" w:firstLineChars="0"/>
        <w:rPr>
          <w:rFonts w:hint="eastAsia" w:ascii="仿宋" w:hAnsi="仿宋" w:eastAsia="仿宋" w:cs="仿宋_GB2312"/>
          <w:b/>
          <w:bCs/>
          <w:kern w:val="0"/>
          <w:sz w:val="44"/>
          <w:szCs w:val="44"/>
          <w:lang w:val="en-US" w:eastAsia="zh-CN" w:bidi="ar-SA"/>
        </w:rPr>
      </w:pPr>
      <w:r>
        <w:rPr>
          <w:rFonts w:hint="eastAsia" w:ascii="仿宋" w:hAnsi="仿宋" w:eastAsia="仿宋" w:cs="仿宋_GB2312"/>
          <w:b/>
          <w:bCs/>
          <w:kern w:val="0"/>
          <w:sz w:val="44"/>
          <w:szCs w:val="44"/>
          <w:lang w:val="en-US" w:eastAsia="zh-CN" w:bidi="ar-SA"/>
        </w:rPr>
        <w:t>2023年度绩效自评报告</w:t>
      </w:r>
    </w:p>
    <w:p/>
    <w:p/>
    <w:p>
      <w:pPr>
        <w:pStyle w:val="3"/>
      </w:pPr>
      <w:r>
        <w:rPr>
          <w:rFonts w:hint="eastAsia"/>
        </w:rPr>
        <w:t>一、基本情况</w:t>
      </w:r>
    </w:p>
    <w:p>
      <w:pPr>
        <w:pStyle w:val="3"/>
      </w:pPr>
      <w:r>
        <w:rPr>
          <w:rFonts w:hint="eastAsia"/>
        </w:rPr>
        <w:t>（一）项目概况</w:t>
      </w:r>
    </w:p>
    <w:p>
      <w:pPr>
        <w:rPr>
          <w:rFonts w:ascii="仿宋" w:hAnsi="仿宋" w:eastAsia="仿宋" w:cs="仿宋"/>
          <w:szCs w:val="32"/>
        </w:rPr>
      </w:pPr>
      <w:r>
        <w:rPr>
          <w:rFonts w:hint="eastAsia" w:ascii="仿宋" w:hAnsi="仿宋" w:eastAsia="仿宋" w:cs="仿宋_GB2312"/>
          <w:kern w:val="0"/>
          <w:szCs w:val="32"/>
        </w:rPr>
        <w:t>机场路与201省道联络线项目业主为海口市路桥建设投资有限公司，该项目起点为</w:t>
      </w:r>
      <w:bookmarkStart w:id="2" w:name="_GoBack"/>
      <w:bookmarkEnd w:id="2"/>
      <w:r>
        <w:rPr>
          <w:rFonts w:hint="eastAsia" w:ascii="仿宋" w:hAnsi="仿宋" w:eastAsia="仿宋" w:cs="仿宋_GB2312"/>
          <w:kern w:val="0"/>
          <w:szCs w:val="32"/>
        </w:rPr>
        <w:t>机场东进场路，终点为省道S201，全长约667.5米，道路红线宽度55米。主要建设内容为道路工程、交通工程、给水工程、排水工程、照明工程、电缆沟工程和绿化工程等。项目总投资</w:t>
      </w:r>
      <w:r>
        <w:rPr>
          <w:rFonts w:hint="eastAsia" w:ascii="仿宋" w:hAnsi="仿宋" w:eastAsia="仿宋" w:cs="仿宋_GB2312"/>
          <w:kern w:val="0"/>
          <w:szCs w:val="32"/>
          <w:lang w:val="en-US" w:eastAsia="zh-CN"/>
        </w:rPr>
        <w:t>6489.4</w:t>
      </w:r>
      <w:r>
        <w:rPr>
          <w:rFonts w:hint="eastAsia" w:ascii="仿宋" w:hAnsi="仿宋" w:eastAsia="仿宋" w:cs="仿宋_GB2312"/>
          <w:kern w:val="0"/>
          <w:szCs w:val="32"/>
        </w:rPr>
        <w:t>万元。</w:t>
      </w:r>
    </w:p>
    <w:p>
      <w:pPr>
        <w:pStyle w:val="3"/>
      </w:pPr>
      <w:r>
        <w:rPr>
          <w:rFonts w:hint="eastAsia"/>
        </w:rPr>
        <w:t>（二）项目资金情况。</w:t>
      </w:r>
    </w:p>
    <w:p>
      <w:pPr>
        <w:rPr>
          <w:rFonts w:hint="default" w:eastAsia="仿宋_GB2312"/>
          <w:lang w:val="en-US" w:eastAsia="zh-CN"/>
        </w:rPr>
      </w:pPr>
      <w:bookmarkStart w:id="0" w:name="OLE_LINK1"/>
      <w:bookmarkStart w:id="1" w:name="OLE_LINK2"/>
      <w:r>
        <w:rPr>
          <w:rFonts w:hint="eastAsia"/>
        </w:rPr>
        <w:t>该项目202</w:t>
      </w:r>
      <w:r>
        <w:rPr>
          <w:rFonts w:hint="eastAsia"/>
          <w:lang w:val="en-US" w:eastAsia="zh-CN"/>
        </w:rPr>
        <w:t>3</w:t>
      </w:r>
      <w:r>
        <w:rPr>
          <w:rFonts w:hint="eastAsia"/>
        </w:rPr>
        <w:t>年共到位资金</w:t>
      </w:r>
      <w:r>
        <w:rPr>
          <w:rFonts w:hint="eastAsia"/>
          <w:lang w:val="en-US" w:eastAsia="zh-CN"/>
        </w:rPr>
        <w:t>762.11</w:t>
      </w:r>
      <w:r>
        <w:rPr>
          <w:rFonts w:hint="eastAsia"/>
        </w:rPr>
        <w:t>万元</w:t>
      </w:r>
      <w:bookmarkEnd w:id="0"/>
      <w:bookmarkEnd w:id="1"/>
      <w:r>
        <w:rPr>
          <w:rFonts w:hint="eastAsia"/>
          <w:lang w:eastAsia="zh-CN"/>
        </w:rPr>
        <w:t>，</w:t>
      </w:r>
      <w:r>
        <w:rPr>
          <w:rFonts w:hint="eastAsia"/>
          <w:lang w:val="en-US" w:eastAsia="zh-CN"/>
        </w:rPr>
        <w:t>其中地债资金700万元，市财力62.11万元。</w:t>
      </w:r>
    </w:p>
    <w:p>
      <w:pPr>
        <w:pStyle w:val="3"/>
      </w:pPr>
      <w:r>
        <w:rPr>
          <w:rFonts w:hint="eastAsia"/>
        </w:rPr>
        <w:t>二、绩效目标完成情况分析</w:t>
      </w:r>
    </w:p>
    <w:p>
      <w:pPr>
        <w:pStyle w:val="3"/>
      </w:pPr>
      <w:r>
        <w:rPr>
          <w:rFonts w:hint="eastAsia"/>
        </w:rPr>
        <w:t>（一）资金情况分析。</w:t>
      </w:r>
    </w:p>
    <w:p>
      <w:pPr>
        <w:rPr>
          <w:rFonts w:hint="default" w:eastAsia="仿宋_GB2312"/>
          <w:lang w:val="en-US" w:eastAsia="zh-CN"/>
        </w:rPr>
      </w:pPr>
      <w:r>
        <w:rPr>
          <w:rFonts w:hint="eastAsia"/>
        </w:rPr>
        <w:t>该项目202</w:t>
      </w:r>
      <w:r>
        <w:rPr>
          <w:rFonts w:hint="eastAsia"/>
          <w:lang w:val="en-US" w:eastAsia="zh-CN"/>
        </w:rPr>
        <w:t>3</w:t>
      </w:r>
      <w:r>
        <w:rPr>
          <w:rFonts w:hint="eastAsia"/>
        </w:rPr>
        <w:t>年共到位资金</w:t>
      </w:r>
      <w:r>
        <w:rPr>
          <w:rFonts w:hint="eastAsia"/>
          <w:lang w:val="en-US" w:eastAsia="zh-CN"/>
        </w:rPr>
        <w:t>762.11</w:t>
      </w:r>
      <w:r>
        <w:rPr>
          <w:rFonts w:hint="eastAsia"/>
        </w:rPr>
        <w:t>万元</w:t>
      </w:r>
      <w:r>
        <w:rPr>
          <w:rFonts w:hint="eastAsia"/>
          <w:lang w:eastAsia="zh-CN"/>
        </w:rPr>
        <w:t>，</w:t>
      </w:r>
      <w:r>
        <w:rPr>
          <w:rFonts w:hint="eastAsia"/>
          <w:lang w:val="en-US" w:eastAsia="zh-CN"/>
        </w:rPr>
        <w:t>其中地债资金700万元，市财力62.11万元。</w:t>
      </w:r>
    </w:p>
    <w:p>
      <w:pPr>
        <w:pStyle w:val="3"/>
        <w:numPr>
          <w:ilvl w:val="0"/>
          <w:numId w:val="1"/>
        </w:numPr>
      </w:pPr>
      <w:r>
        <w:rPr>
          <w:rFonts w:hint="eastAsia"/>
        </w:rPr>
        <w:t>总体目标完成情况分析。</w:t>
      </w:r>
    </w:p>
    <w:p>
      <w:pPr>
        <w:rPr>
          <w:rFonts w:hint="eastAsia"/>
          <w:lang w:bidi="ar"/>
        </w:rPr>
      </w:pPr>
      <w:r>
        <w:rPr>
          <w:rFonts w:hint="eastAsia"/>
          <w:lang w:bidi="ar"/>
        </w:rPr>
        <w:t>项目年度目标为：完成600米道路建设</w:t>
      </w:r>
    </w:p>
    <w:p>
      <w:r>
        <w:rPr>
          <w:rFonts w:hint="eastAsia"/>
          <w:lang w:bidi="ar"/>
        </w:rPr>
        <w:t>项目年度完成情况：已按要求完成</w:t>
      </w:r>
      <w:r>
        <w:rPr>
          <w:rFonts w:hint="eastAsia"/>
          <w:lang w:val="en-US" w:eastAsia="zh-CN" w:bidi="ar"/>
        </w:rPr>
        <w:t>600米</w:t>
      </w:r>
      <w:r>
        <w:rPr>
          <w:rFonts w:hint="eastAsia"/>
          <w:lang w:bidi="ar"/>
        </w:rPr>
        <w:t>道路工程、排水工程、照明工程、交通工程竣工验收。</w:t>
      </w:r>
      <w:r>
        <w:rPr>
          <w:rFonts w:hint="eastAsia"/>
        </w:rPr>
        <w:t>目前已完成项目总体100%的形象进度。严格执行预算，确保质量，未发生安全事故，保质保量完成任务。</w:t>
      </w:r>
    </w:p>
    <w:p>
      <w:pPr>
        <w:pStyle w:val="3"/>
        <w:rPr>
          <w:rFonts w:hint="eastAsia" w:eastAsia="黑体"/>
          <w:lang w:eastAsia="zh-CN"/>
        </w:rPr>
      </w:pPr>
      <w:r>
        <w:rPr>
          <w:rFonts w:hint="eastAsia"/>
        </w:rPr>
        <w:t>（三）绩效指标完成情况分析</w:t>
      </w:r>
      <w:r>
        <w:rPr>
          <w:rFonts w:hint="eastAsia"/>
          <w:lang w:eastAsia="zh-CN"/>
        </w:rPr>
        <w:t>。</w:t>
      </w:r>
    </w:p>
    <w:p>
      <w:pPr>
        <w:rPr>
          <w:rFonts w:hint="eastAsia"/>
        </w:rPr>
      </w:pPr>
      <w:r>
        <w:rPr>
          <w:rFonts w:hint="eastAsia"/>
        </w:rPr>
        <w:t>1.产出指标：</w:t>
      </w:r>
    </w:p>
    <w:p>
      <w:r>
        <w:rPr>
          <w:rFonts w:hint="eastAsia"/>
        </w:rPr>
        <w:t>目标：建设(改造、修缮)工程量≥</w:t>
      </w:r>
      <w:r>
        <w:rPr>
          <w:rFonts w:hint="eastAsia"/>
          <w:lang w:val="en-US" w:eastAsia="zh-CN"/>
        </w:rPr>
        <w:t>6</w:t>
      </w:r>
      <w:r>
        <w:rPr>
          <w:rFonts w:hint="eastAsia"/>
        </w:rPr>
        <w:t>00米。</w:t>
      </w:r>
    </w:p>
    <w:p>
      <w:pPr>
        <w:rPr>
          <w:rFonts w:hint="eastAsia"/>
        </w:rPr>
      </w:pPr>
      <w:r>
        <w:rPr>
          <w:rFonts w:hint="eastAsia"/>
        </w:rPr>
        <w:t>完成情况：已完成。项目目前已按时间计划节点完成对于工作量</w:t>
      </w:r>
      <w:r>
        <w:rPr>
          <w:rFonts w:hint="eastAsia" w:hAnsi="仿宋_GB2312" w:cs="仿宋_GB2312"/>
          <w:szCs w:val="32"/>
        </w:rPr>
        <w:t>。</w:t>
      </w:r>
    </w:p>
    <w:p>
      <w:pPr>
        <w:rPr>
          <w:rFonts w:hint="eastAsia"/>
        </w:rPr>
      </w:pPr>
      <w:r>
        <w:rPr>
          <w:rFonts w:hint="eastAsia"/>
        </w:rPr>
        <w:t>2.</w:t>
      </w:r>
      <w:r>
        <w:rPr>
          <w:rFonts w:hint="eastAsia"/>
          <w:lang w:val="en-US" w:eastAsia="zh-CN"/>
        </w:rPr>
        <w:t>质量</w:t>
      </w:r>
      <w:r>
        <w:rPr>
          <w:rFonts w:hint="eastAsia"/>
        </w:rPr>
        <w:t>指标：</w:t>
      </w:r>
    </w:p>
    <w:p>
      <w:r>
        <w:rPr>
          <w:rFonts w:hint="eastAsia"/>
        </w:rPr>
        <w:t>目标：竣工验收合格率≥</w:t>
      </w:r>
      <w:r>
        <w:rPr>
          <w:rFonts w:hint="eastAsia"/>
          <w:lang w:val="en-US" w:eastAsia="zh-CN"/>
        </w:rPr>
        <w:t>98%</w:t>
      </w:r>
      <w:r>
        <w:rPr>
          <w:rFonts w:hint="eastAsia"/>
        </w:rPr>
        <w:t>。</w:t>
      </w:r>
    </w:p>
    <w:p>
      <w:pPr>
        <w:rPr>
          <w:rFonts w:hint="eastAsia"/>
        </w:rPr>
      </w:pPr>
      <w:r>
        <w:rPr>
          <w:rFonts w:hint="eastAsia"/>
        </w:rPr>
        <w:t>完成情况：</w:t>
      </w:r>
      <w:r>
        <w:rPr>
          <w:rFonts w:hint="eastAsia"/>
          <w:lang w:val="en-US" w:eastAsia="zh-CN"/>
        </w:rPr>
        <w:t>已完成600米验收工作，合格率大于98%，完成当年目标</w:t>
      </w:r>
      <w:r>
        <w:rPr>
          <w:rFonts w:hint="eastAsia"/>
        </w:rPr>
        <w:t>。</w:t>
      </w:r>
    </w:p>
    <w:p>
      <w:pPr>
        <w:rPr>
          <w:rFonts w:hint="eastAsia"/>
        </w:rPr>
      </w:pPr>
      <w:r>
        <w:rPr>
          <w:rFonts w:hint="eastAsia"/>
        </w:rPr>
        <w:t>2.效益指标：</w:t>
      </w:r>
    </w:p>
    <w:p>
      <w:r>
        <w:rPr>
          <w:rFonts w:hint="eastAsia"/>
        </w:rPr>
        <w:t>目标：项目受益人数≥</w:t>
      </w:r>
      <w:r>
        <w:rPr>
          <w:rFonts w:hint="eastAsia"/>
          <w:lang w:val="en-US" w:eastAsia="zh-CN"/>
        </w:rPr>
        <w:t>600</w:t>
      </w:r>
      <w:r>
        <w:rPr>
          <w:rFonts w:hint="eastAsia"/>
        </w:rPr>
        <w:t>。</w:t>
      </w:r>
    </w:p>
    <w:p>
      <w:r>
        <w:rPr>
          <w:rFonts w:hint="eastAsia"/>
        </w:rPr>
        <w:t>完成情况：已完成。</w:t>
      </w:r>
    </w:p>
    <w:p>
      <w:r>
        <w:rPr>
          <w:rFonts w:hint="eastAsia"/>
        </w:rPr>
        <w:t>3.满意度指标：</w:t>
      </w:r>
      <w:r>
        <w:t xml:space="preserve"> </w:t>
      </w:r>
    </w:p>
    <w:p>
      <w:pPr>
        <w:rPr>
          <w:rFonts w:hint="eastAsia" w:eastAsia="仿宋_GB2312"/>
          <w:lang w:eastAsia="zh-CN"/>
        </w:rPr>
      </w:pPr>
      <w:r>
        <w:rPr>
          <w:rFonts w:hint="eastAsia"/>
        </w:rPr>
        <w:t>目标：超概算比例≤</w:t>
      </w:r>
      <w:r>
        <w:rPr>
          <w:rFonts w:hint="eastAsia"/>
          <w:lang w:val="en-US" w:eastAsia="zh-CN"/>
        </w:rPr>
        <w:t>0</w:t>
      </w:r>
    </w:p>
    <w:p>
      <w:r>
        <w:rPr>
          <w:rFonts w:hint="eastAsia"/>
        </w:rPr>
        <w:t>完成情况：</w:t>
      </w:r>
      <w:r>
        <w:rPr>
          <w:rFonts w:hint="eastAsia"/>
          <w:lang w:val="en-US" w:eastAsia="zh-CN"/>
        </w:rPr>
        <w:t>未超概，</w:t>
      </w:r>
      <w:r>
        <w:rPr>
          <w:rFonts w:hint="eastAsia"/>
        </w:rPr>
        <w:t>已完成</w:t>
      </w:r>
      <w:r>
        <w:rPr>
          <w:rFonts w:hint="eastAsia"/>
          <w:lang w:val="en-US" w:eastAsia="zh-CN"/>
        </w:rPr>
        <w:t>当年目标</w:t>
      </w:r>
      <w:r>
        <w:rPr>
          <w:rFonts w:hint="eastAsia"/>
        </w:rPr>
        <w:t>。</w:t>
      </w:r>
    </w:p>
    <w:p>
      <w:pPr>
        <w:pStyle w:val="3"/>
      </w:pPr>
      <w:r>
        <w:rPr>
          <w:rFonts w:hint="eastAsia"/>
        </w:rPr>
        <w:t>（四）整体绩效自评。</w:t>
      </w:r>
    </w:p>
    <w:p>
      <w:r>
        <w:rPr>
          <w:rFonts w:hint="eastAsia"/>
          <w:lang w:bidi="ar"/>
        </w:rPr>
        <w:t>该年度机场路与201省道联络线项目整体效益目标已按时完成，绩效自评分数</w:t>
      </w:r>
      <w:r>
        <w:rPr>
          <w:rFonts w:hint="eastAsia"/>
          <w:lang w:val="en-US" w:eastAsia="zh-CN" w:bidi="ar"/>
        </w:rPr>
        <w:t>100</w:t>
      </w:r>
      <w:r>
        <w:rPr>
          <w:rFonts w:hint="eastAsia"/>
          <w:lang w:bidi="ar"/>
        </w:rPr>
        <w:t>分，自评等级优。</w:t>
      </w:r>
    </w:p>
    <w:p>
      <w:pPr>
        <w:pStyle w:val="3"/>
      </w:pPr>
      <w:r>
        <w:rPr>
          <w:rFonts w:hint="eastAsia"/>
        </w:rPr>
        <w:t>三、发现的主要问题和改进措施</w:t>
      </w:r>
    </w:p>
    <w:p>
      <w:r>
        <w:rPr>
          <w:rFonts w:hint="eastAsia"/>
        </w:rPr>
        <w:t>无</w:t>
      </w:r>
    </w:p>
    <w:p>
      <w:pPr>
        <w:pStyle w:val="3"/>
      </w:pPr>
      <w:r>
        <w:rPr>
          <w:rFonts w:hint="eastAsia"/>
        </w:rPr>
        <w:t>四、绩效自评结果拟应用和公开情况</w:t>
      </w:r>
    </w:p>
    <w:p>
      <w:r>
        <w:rPr>
          <w:rFonts w:hint="eastAsia"/>
        </w:rPr>
        <w:t>拟将绩效自评结果用于后续对于施工等单位的履职尽责以及专业胜任能力的考核，可作为后续相关合作的考虑因素。</w:t>
      </w:r>
    </w:p>
    <w:p>
      <w:pPr>
        <w:pStyle w:val="3"/>
      </w:pPr>
      <w:r>
        <w:rPr>
          <w:rFonts w:hint="eastAsia"/>
        </w:rPr>
        <w:t>五、绩效自评工作开展情况</w:t>
      </w:r>
    </w:p>
    <w:p>
      <w:r>
        <w:rPr>
          <w:rFonts w:hint="eastAsia" w:ascii="Arial" w:hAnsi="Arial" w:cs="Arial"/>
          <w:color w:val="191919"/>
          <w:shd w:val="clear" w:color="auto" w:fill="FFFFFF"/>
        </w:rPr>
        <w:t>根据</w:t>
      </w:r>
      <w:r>
        <w:rPr>
          <w:rFonts w:ascii="Arial" w:hAnsi="Arial" w:cs="Arial"/>
          <w:color w:val="191919"/>
          <w:shd w:val="clear" w:color="auto" w:fill="FFFFFF"/>
        </w:rPr>
        <w:t>《中共中央 国务院关于全面实施预算绩效管理的意见》，</w:t>
      </w:r>
      <w:r>
        <w:rPr>
          <w:rFonts w:hint="eastAsia" w:ascii="Arial" w:hAnsi="Arial" w:cs="Arial"/>
          <w:color w:val="191919"/>
          <w:shd w:val="clear" w:color="auto" w:fill="FFFFFF"/>
        </w:rPr>
        <w:t>我单位</w:t>
      </w:r>
      <w:r>
        <w:rPr>
          <w:rFonts w:ascii="Arial" w:hAnsi="Arial" w:cs="Arial"/>
          <w:color w:val="191919"/>
          <w:shd w:val="clear" w:color="auto" w:fill="FFFFFF"/>
        </w:rPr>
        <w:t>以全面实施预算绩效管理为关键点和突破口，推动财政资金聚力增效，提高公共服务供给质量，增强政府公信力和执行力。</w:t>
      </w:r>
      <w:r>
        <w:rPr>
          <w:rFonts w:hint="eastAsia" w:ascii="Arial" w:hAnsi="Arial" w:cs="Arial"/>
          <w:color w:val="191919"/>
          <w:shd w:val="clear" w:color="auto" w:fill="FFFFFF"/>
        </w:rPr>
        <w:t>按照“预算花钱必问效”的原则，我单位持续对政府投资项目，尤其是获得中央资金的项目开展绩效自评工作，</w:t>
      </w:r>
      <w:r>
        <w:rPr>
          <w:rFonts w:ascii="Arial" w:hAnsi="Arial" w:cs="Arial"/>
          <w:color w:val="191919"/>
          <w:shd w:val="clear" w:color="auto" w:fill="FFFFFF"/>
        </w:rPr>
        <w:t>强化绩效目标管理，做好绩效运行监控，并开展绩效评价和结果应用</w:t>
      </w:r>
      <w:r>
        <w:rPr>
          <w:rFonts w:hint="eastAsia" w:ascii="Arial" w:hAnsi="Arial" w:cs="Arial"/>
          <w:color w:val="191919"/>
          <w:shd w:val="clear" w:color="auto" w:fill="FFFFFF"/>
        </w:rPr>
        <w:t>。</w:t>
      </w:r>
    </w:p>
    <w:p>
      <w:pPr>
        <w:pStyle w:val="3"/>
      </w:pPr>
      <w:r>
        <w:rPr>
          <w:rFonts w:hint="eastAsia"/>
        </w:rPr>
        <w:t>六、其他需要说明的问题</w:t>
      </w:r>
    </w:p>
    <w:p>
      <w:r>
        <w:rPr>
          <w:rFonts w:hint="eastAsia"/>
        </w:rPr>
        <w:t>暂无。</w:t>
      </w:r>
    </w:p>
    <w:p>
      <w:pPr>
        <w:pStyle w:val="2"/>
        <w:ind w:firstLine="640"/>
      </w:pPr>
    </w:p>
    <w:p>
      <w:pPr>
        <w:pStyle w:val="2"/>
        <w:ind w:firstLine="640"/>
      </w:pPr>
    </w:p>
    <w:p>
      <w:pPr>
        <w:pStyle w:val="2"/>
        <w:ind w:firstLine="640"/>
      </w:pPr>
    </w:p>
    <w:p>
      <w:pPr>
        <w:pStyle w:val="2"/>
        <w:ind w:firstLine="640"/>
        <w:jc w:val="cente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w:fldChar w:fldCharType="begin"/>
    </w:r>
    <w:r>
      <w:instrText xml:space="preserve"> PAGE   \* MERGEFORMAT </w:instrText>
    </w:r>
    <w:r>
      <w:fldChar w:fldCharType="separate"/>
    </w:r>
    <w:r>
      <w:rPr>
        <w:lang w:val="zh-CN"/>
      </w:rPr>
      <w:t>4</w:t>
    </w:r>
    <w:r>
      <w:rPr>
        <w:lang w:val="zh-CN"/>
      </w:rPr>
      <w:fldChar w:fldCharType="end"/>
    </w:r>
  </w:p>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436A"/>
    <w:multiLevelType w:val="singleLevel"/>
    <w:tmpl w:val="B826436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NotTrackMoves/>
  <w:trackRevisions w:val="1"/>
  <w:documentProtection w:enforcement="0"/>
  <w:defaultTabStop w:val="420"/>
  <w:drawingGridHorizontalSpacing w:val="150"/>
  <w:drawingGridVerticalSpacing w:val="581"/>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00F57F82"/>
    <w:rsid w:val="000101E1"/>
    <w:rsid w:val="00017298"/>
    <w:rsid w:val="00020084"/>
    <w:rsid w:val="000329D9"/>
    <w:rsid w:val="000732DA"/>
    <w:rsid w:val="00075CDC"/>
    <w:rsid w:val="000B1E8F"/>
    <w:rsid w:val="00103D16"/>
    <w:rsid w:val="001214D7"/>
    <w:rsid w:val="00136702"/>
    <w:rsid w:val="00164D84"/>
    <w:rsid w:val="001D628A"/>
    <w:rsid w:val="00250053"/>
    <w:rsid w:val="00276CCC"/>
    <w:rsid w:val="00287C3C"/>
    <w:rsid w:val="00371982"/>
    <w:rsid w:val="0039432D"/>
    <w:rsid w:val="003C6374"/>
    <w:rsid w:val="00415F7C"/>
    <w:rsid w:val="00437A2F"/>
    <w:rsid w:val="004531B5"/>
    <w:rsid w:val="004E5F55"/>
    <w:rsid w:val="00503C12"/>
    <w:rsid w:val="00560E3E"/>
    <w:rsid w:val="00747904"/>
    <w:rsid w:val="00785AF7"/>
    <w:rsid w:val="007873EA"/>
    <w:rsid w:val="007A1DC2"/>
    <w:rsid w:val="007E546A"/>
    <w:rsid w:val="008A20F2"/>
    <w:rsid w:val="009C5983"/>
    <w:rsid w:val="00A92E5C"/>
    <w:rsid w:val="00AA2B82"/>
    <w:rsid w:val="00B13839"/>
    <w:rsid w:val="00C55880"/>
    <w:rsid w:val="00CC152C"/>
    <w:rsid w:val="00CE3824"/>
    <w:rsid w:val="00CE55E9"/>
    <w:rsid w:val="00D200DC"/>
    <w:rsid w:val="00D61B1A"/>
    <w:rsid w:val="00D63908"/>
    <w:rsid w:val="00D72958"/>
    <w:rsid w:val="00DB429F"/>
    <w:rsid w:val="00DD09A2"/>
    <w:rsid w:val="00DD16E3"/>
    <w:rsid w:val="00DF57C5"/>
    <w:rsid w:val="00EA4292"/>
    <w:rsid w:val="00ED6D53"/>
    <w:rsid w:val="00F22AE2"/>
    <w:rsid w:val="00F437B4"/>
    <w:rsid w:val="00F57F82"/>
    <w:rsid w:val="00F75963"/>
    <w:rsid w:val="00FA357A"/>
    <w:rsid w:val="029E5817"/>
    <w:rsid w:val="02C86339"/>
    <w:rsid w:val="037D0BC8"/>
    <w:rsid w:val="04076DA7"/>
    <w:rsid w:val="040C04D2"/>
    <w:rsid w:val="07FA0264"/>
    <w:rsid w:val="0845082D"/>
    <w:rsid w:val="0848123F"/>
    <w:rsid w:val="096A663E"/>
    <w:rsid w:val="09E965F2"/>
    <w:rsid w:val="0A4A3A37"/>
    <w:rsid w:val="0A87714B"/>
    <w:rsid w:val="0EC63FED"/>
    <w:rsid w:val="0EFB5A0A"/>
    <w:rsid w:val="0FFFAAC1"/>
    <w:rsid w:val="109675FA"/>
    <w:rsid w:val="11D7196B"/>
    <w:rsid w:val="11DD33BD"/>
    <w:rsid w:val="12CA3F9C"/>
    <w:rsid w:val="139840D3"/>
    <w:rsid w:val="140827AE"/>
    <w:rsid w:val="143E091F"/>
    <w:rsid w:val="14865FC8"/>
    <w:rsid w:val="150C2DB0"/>
    <w:rsid w:val="17C05E32"/>
    <w:rsid w:val="18E532E1"/>
    <w:rsid w:val="18F83E24"/>
    <w:rsid w:val="1AB252A7"/>
    <w:rsid w:val="1CE94882"/>
    <w:rsid w:val="1E761F05"/>
    <w:rsid w:val="1FC7205C"/>
    <w:rsid w:val="20BD1B38"/>
    <w:rsid w:val="21B57B1D"/>
    <w:rsid w:val="21DE5A03"/>
    <w:rsid w:val="21F00DBA"/>
    <w:rsid w:val="228B3D05"/>
    <w:rsid w:val="25FE8923"/>
    <w:rsid w:val="27F34A6B"/>
    <w:rsid w:val="286D5E37"/>
    <w:rsid w:val="28E373DF"/>
    <w:rsid w:val="2A94137D"/>
    <w:rsid w:val="2CBB425E"/>
    <w:rsid w:val="2D8B4B0D"/>
    <w:rsid w:val="2F6F4467"/>
    <w:rsid w:val="2FAD4FCA"/>
    <w:rsid w:val="33E86A4E"/>
    <w:rsid w:val="368D368C"/>
    <w:rsid w:val="36B95C8B"/>
    <w:rsid w:val="36E827EE"/>
    <w:rsid w:val="38EF7AD8"/>
    <w:rsid w:val="3A0C0C54"/>
    <w:rsid w:val="3A431E7C"/>
    <w:rsid w:val="3C5E2926"/>
    <w:rsid w:val="3C7019B2"/>
    <w:rsid w:val="3D7E7C9E"/>
    <w:rsid w:val="3DBBD6B4"/>
    <w:rsid w:val="3E1672E6"/>
    <w:rsid w:val="3E6918DD"/>
    <w:rsid w:val="3F5579C2"/>
    <w:rsid w:val="40950555"/>
    <w:rsid w:val="415F08D8"/>
    <w:rsid w:val="41AE398F"/>
    <w:rsid w:val="42F07593"/>
    <w:rsid w:val="433B52D2"/>
    <w:rsid w:val="43690154"/>
    <w:rsid w:val="43ED7E14"/>
    <w:rsid w:val="441867FA"/>
    <w:rsid w:val="4434078E"/>
    <w:rsid w:val="44C635B7"/>
    <w:rsid w:val="44E2230F"/>
    <w:rsid w:val="46F9107C"/>
    <w:rsid w:val="4881717A"/>
    <w:rsid w:val="48B51347"/>
    <w:rsid w:val="4A1B2E89"/>
    <w:rsid w:val="4A55216A"/>
    <w:rsid w:val="4B0E65C7"/>
    <w:rsid w:val="4BFD2870"/>
    <w:rsid w:val="4C4F4283"/>
    <w:rsid w:val="4D2907E5"/>
    <w:rsid w:val="4D4C56FF"/>
    <w:rsid w:val="4DC43E92"/>
    <w:rsid w:val="4EBA1772"/>
    <w:rsid w:val="4FE0696A"/>
    <w:rsid w:val="50D34630"/>
    <w:rsid w:val="50F76058"/>
    <w:rsid w:val="50F91B2C"/>
    <w:rsid w:val="50FE6375"/>
    <w:rsid w:val="51FD19E1"/>
    <w:rsid w:val="528F2AA6"/>
    <w:rsid w:val="53773584"/>
    <w:rsid w:val="55673508"/>
    <w:rsid w:val="57FCC004"/>
    <w:rsid w:val="58F700C3"/>
    <w:rsid w:val="59595A6F"/>
    <w:rsid w:val="599330CA"/>
    <w:rsid w:val="5B0D23FC"/>
    <w:rsid w:val="5D0C3511"/>
    <w:rsid w:val="5DB076C2"/>
    <w:rsid w:val="5F76F0C1"/>
    <w:rsid w:val="5FF371E7"/>
    <w:rsid w:val="600865E8"/>
    <w:rsid w:val="603B6C1D"/>
    <w:rsid w:val="60D5009F"/>
    <w:rsid w:val="619D08BC"/>
    <w:rsid w:val="6261716A"/>
    <w:rsid w:val="6324384D"/>
    <w:rsid w:val="660721C9"/>
    <w:rsid w:val="661E6C75"/>
    <w:rsid w:val="67F75FF5"/>
    <w:rsid w:val="681715F8"/>
    <w:rsid w:val="681D4831"/>
    <w:rsid w:val="692A6C18"/>
    <w:rsid w:val="692E4B19"/>
    <w:rsid w:val="69513EF7"/>
    <w:rsid w:val="697D78BA"/>
    <w:rsid w:val="6AAF7917"/>
    <w:rsid w:val="6B0B09CB"/>
    <w:rsid w:val="6BF3256F"/>
    <w:rsid w:val="6CE7018A"/>
    <w:rsid w:val="6D08690D"/>
    <w:rsid w:val="6DA15568"/>
    <w:rsid w:val="6E3E3F2D"/>
    <w:rsid w:val="70D86EB2"/>
    <w:rsid w:val="715B2F02"/>
    <w:rsid w:val="72F13750"/>
    <w:rsid w:val="730F557A"/>
    <w:rsid w:val="748C1146"/>
    <w:rsid w:val="75A62CFF"/>
    <w:rsid w:val="76A548F2"/>
    <w:rsid w:val="7765772E"/>
    <w:rsid w:val="77867685"/>
    <w:rsid w:val="77F04540"/>
    <w:rsid w:val="781F36B6"/>
    <w:rsid w:val="78ED5A1E"/>
    <w:rsid w:val="790627AD"/>
    <w:rsid w:val="7ABA7609"/>
    <w:rsid w:val="7ADC59FA"/>
    <w:rsid w:val="7BB71159"/>
    <w:rsid w:val="7C1A2432"/>
    <w:rsid w:val="7CD836C4"/>
    <w:rsid w:val="7D6742C1"/>
    <w:rsid w:val="7DBDD65E"/>
    <w:rsid w:val="7DDD794F"/>
    <w:rsid w:val="7E5A664C"/>
    <w:rsid w:val="7EF834F2"/>
    <w:rsid w:val="7F957A64"/>
    <w:rsid w:val="7FA94C21"/>
    <w:rsid w:val="7FED9F9F"/>
    <w:rsid w:val="9FFF3766"/>
    <w:rsid w:val="B7F7950F"/>
    <w:rsid w:val="BECF1CFC"/>
    <w:rsid w:val="CADDA160"/>
    <w:rsid w:val="D7FBE5FA"/>
    <w:rsid w:val="DFDF27BD"/>
    <w:rsid w:val="F57B6F99"/>
    <w:rsid w:val="F7DFB8FF"/>
    <w:rsid w:val="FA7DCE76"/>
    <w:rsid w:val="FAEFC359"/>
    <w:rsid w:val="FB5ECFCA"/>
    <w:rsid w:val="FEAF114B"/>
    <w:rsid w:val="FEDC2866"/>
    <w:rsid w:val="FFC60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ind w:firstLine="640" w:firstLineChars="200"/>
      <w:jc w:val="both"/>
      <w:outlineLvl w:val="0"/>
    </w:pPr>
    <w:rPr>
      <w:rFonts w:ascii="仿宋_GB2312" w:hAnsi="Times New Roman" w:eastAsia="仿宋_GB2312" w:cs="Times New Roman"/>
      <w:kern w:val="2"/>
      <w:sz w:val="32"/>
      <w:szCs w:val="36"/>
      <w:lang w:val="en-US" w:eastAsia="zh-CN" w:bidi="ar-SA"/>
    </w:rPr>
  </w:style>
  <w:style w:type="paragraph" w:styleId="3">
    <w:name w:val="heading 1"/>
    <w:basedOn w:val="1"/>
    <w:next w:val="1"/>
    <w:link w:val="16"/>
    <w:autoRedefine/>
    <w:qFormat/>
    <w:uiPriority w:val="0"/>
    <w:pPr>
      <w:keepNext/>
      <w:keepLines/>
      <w:ind w:firstLine="643"/>
    </w:pPr>
    <w:rPr>
      <w:rFonts w:ascii="黑体" w:hAnsi="黑体" w:eastAsia="黑体"/>
      <w:b/>
      <w:kern w:val="44"/>
      <w:szCs w:val="24"/>
    </w:rPr>
  </w:style>
  <w:style w:type="paragraph" w:styleId="4">
    <w:name w:val="heading 2"/>
    <w:basedOn w:val="1"/>
    <w:next w:val="1"/>
    <w:autoRedefine/>
    <w:unhideWhenUsed/>
    <w:qFormat/>
    <w:uiPriority w:val="0"/>
    <w:pPr>
      <w:keepNext/>
      <w:keepLines/>
      <w:spacing w:before="260" w:after="260" w:line="413" w:lineRule="auto"/>
      <w:outlineLvl w:val="1"/>
    </w:pPr>
    <w:rPr>
      <w:rFonts w:ascii="Arial" w:hAnsi="Arial" w:eastAsia="黑体"/>
      <w:b/>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964"/>
    </w:pPr>
  </w:style>
  <w:style w:type="paragraph" w:styleId="5">
    <w:name w:val="Balloon Text"/>
    <w:basedOn w:val="1"/>
    <w:link w:val="13"/>
    <w:autoRedefine/>
    <w:qFormat/>
    <w:uiPriority w:val="0"/>
    <w:rPr>
      <w:sz w:val="18"/>
      <w:szCs w:val="18"/>
    </w:rPr>
  </w:style>
  <w:style w:type="paragraph" w:styleId="6">
    <w:name w:val="footer"/>
    <w:basedOn w:val="1"/>
    <w:link w:val="11"/>
    <w:autoRedefine/>
    <w:qFormat/>
    <w:uiPriority w:val="99"/>
    <w:pPr>
      <w:tabs>
        <w:tab w:val="center" w:pos="4153"/>
        <w:tab w:val="right" w:pos="8306"/>
      </w:tabs>
      <w:snapToGrid w:val="0"/>
      <w:jc w:val="left"/>
    </w:pPr>
    <w:rPr>
      <w:sz w:val="18"/>
      <w:szCs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5"/>
    <w:autoRedefine/>
    <w:qFormat/>
    <w:uiPriority w:val="0"/>
    <w:pPr>
      <w:spacing w:before="240" w:after="60"/>
      <w:jc w:val="center"/>
    </w:pPr>
    <w:rPr>
      <w:rFonts w:asciiTheme="majorHAnsi" w:hAnsiTheme="majorHAnsi" w:eastAsiaTheme="majorEastAsia" w:cstheme="majorBidi"/>
      <w:b/>
      <w:bCs/>
      <w:szCs w:val="32"/>
    </w:rPr>
  </w:style>
  <w:style w:type="character" w:customStyle="1" w:styleId="11">
    <w:name w:val="页脚 Char"/>
    <w:basedOn w:val="10"/>
    <w:link w:val="6"/>
    <w:autoRedefine/>
    <w:qFormat/>
    <w:uiPriority w:val="99"/>
    <w:rPr>
      <w:rFonts w:eastAsia="仿宋_GB2312"/>
      <w:kern w:val="2"/>
      <w:sz w:val="18"/>
      <w:szCs w:val="18"/>
    </w:rPr>
  </w:style>
  <w:style w:type="character" w:customStyle="1" w:styleId="12">
    <w:name w:val="页眉 Char"/>
    <w:basedOn w:val="10"/>
    <w:link w:val="7"/>
    <w:autoRedefine/>
    <w:qFormat/>
    <w:uiPriority w:val="0"/>
    <w:rPr>
      <w:rFonts w:eastAsia="仿宋_GB2312"/>
      <w:kern w:val="2"/>
      <w:sz w:val="18"/>
      <w:szCs w:val="18"/>
    </w:rPr>
  </w:style>
  <w:style w:type="character" w:customStyle="1" w:styleId="13">
    <w:name w:val="批注框文本 Char"/>
    <w:basedOn w:val="10"/>
    <w:link w:val="5"/>
    <w:autoRedefine/>
    <w:qFormat/>
    <w:uiPriority w:val="0"/>
    <w:rPr>
      <w:rFonts w:eastAsia="仿宋_GB2312"/>
      <w:kern w:val="2"/>
      <w:sz w:val="18"/>
      <w:szCs w:val="18"/>
    </w:rPr>
  </w:style>
  <w:style w:type="paragraph" w:styleId="14">
    <w:name w:val="List Paragraph"/>
    <w:basedOn w:val="1"/>
    <w:autoRedefine/>
    <w:qFormat/>
    <w:uiPriority w:val="99"/>
    <w:pPr>
      <w:ind w:firstLine="420"/>
    </w:pPr>
  </w:style>
  <w:style w:type="character" w:customStyle="1" w:styleId="15">
    <w:name w:val="标题 Char"/>
    <w:basedOn w:val="10"/>
    <w:link w:val="8"/>
    <w:autoRedefine/>
    <w:qFormat/>
    <w:uiPriority w:val="0"/>
    <w:rPr>
      <w:rFonts w:asciiTheme="majorHAnsi" w:hAnsiTheme="majorHAnsi" w:eastAsiaTheme="majorEastAsia" w:cstheme="majorBidi"/>
      <w:b/>
      <w:bCs/>
      <w:kern w:val="2"/>
      <w:sz w:val="32"/>
      <w:szCs w:val="32"/>
    </w:rPr>
  </w:style>
  <w:style w:type="character" w:customStyle="1" w:styleId="16">
    <w:name w:val="标题 1 Char"/>
    <w:basedOn w:val="10"/>
    <w:link w:val="3"/>
    <w:autoRedefine/>
    <w:qFormat/>
    <w:uiPriority w:val="0"/>
    <w:rPr>
      <w:rFonts w:hint="eastAsia" w:ascii="黑体" w:hAnsi="宋体" w:eastAsia="黑体" w:cs="黑体"/>
      <w:b/>
      <w:kern w:val="44"/>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171</Words>
  <Characters>980</Characters>
  <Lines>8</Lines>
  <Paragraphs>2</Paragraphs>
  <TotalTime>7</TotalTime>
  <ScaleCrop>false</ScaleCrop>
  <LinksUpToDate>false</LinksUpToDate>
  <CharactersWithSpaces>1149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2011-03-03T08:16:00Z</dcterms:created>
  <dc:creator>lhn</dc:creator>
  <cp:lastModifiedBy>清风拂柳</cp:lastModifiedBy>
  <cp:lastPrinted>2020-02-29T13:55:00Z</cp:lastPrinted>
  <dcterms:modified xsi:type="dcterms:W3CDTF">2024-04-23T15:15:22Z</dcterms:modified>
  <dc:title>财政支出绩效评价报告</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198557A26C83406CA6ECA1D5A128AFF0</vt:lpwstr>
  </property>
</Properties>
</file>